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KATY PERRY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ROAR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Couplet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 used to bite my tong and hold my breath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Scared to rock the boat and make a mess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 I said quietly, agree politely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 guess that I forgot I had a choice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 let you push me passed the breaking point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 stood for nothing, so I fell for everything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You held me down but I got up,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Already brushing off the dust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You hear my voice you hear that sound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Like thunder gonna shake the ground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You held me down but I got up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Get ready 'cause I've had enough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 see it all, I see it now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Refrein / Chorus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 got the eye of the tiger, the fire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Dancing trough the fire, 'cause I am a champion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And you're gonna hear me roar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Louder, louder than a lion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'Cause I am a champion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And you're gonna hear me roar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And you're gonna hear me roar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Couplet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Now I'am floating like a butterfly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Stinging like a bee I earned the stripes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 went from zero, to my own hero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You held me down but I got up,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Already brushing off the dust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You hear my voice you hear that sound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Like thunder gonna shake the ground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You held me down but I got up,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Get ready 'cause I've had enough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 see it all, I see it now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Refrein / Chorus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